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A1C77" w14:textId="51600FC5" w:rsidR="00DF3A62" w:rsidRPr="00AE7AFA" w:rsidRDefault="00A64924" w:rsidP="00DF3A62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>
        <w:rPr>
          <w:rStyle w:val="Odkaznakoment"/>
          <w:rFonts w:ascii="Cambria" w:eastAsia="Cambria" w:hAnsi="Cambria" w:cs="Times New Roman"/>
        </w:rPr>
        <w:commentReference w:id="0"/>
      </w:r>
      <w:bookmarkStart w:id="1" w:name="_Hlk204694203"/>
      <w:r w:rsidR="00DF3A62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DF3A62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DF3A62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DF3A62">
        <w:rPr>
          <w:rStyle w:val="Odkaznakoment"/>
          <w:rFonts w:ascii="Cambria" w:eastAsia="Cambria" w:hAnsi="Cambria" w:cs="Times New Roman"/>
          <w:i/>
        </w:rPr>
        <w:t>veřejné</w:t>
      </w:r>
      <w:r w:rsidR="00DF3A62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DF3A62">
        <w:rPr>
          <w:rStyle w:val="Odkaznakoment"/>
          <w:rFonts w:ascii="Cambria" w:eastAsia="Cambria" w:hAnsi="Cambria" w:cs="Times New Roman"/>
          <w:i/>
        </w:rPr>
        <w:t>Z</w:t>
      </w:r>
      <w:r w:rsidR="00DF3A62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DF3A62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DF3A62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C62EABA" w14:textId="47A5F395" w:rsidR="00DF3A62" w:rsidRPr="00AE7AFA" w:rsidRDefault="00DF3A62" w:rsidP="00DF3A6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D324A7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29D3D82F" w14:textId="77777777" w:rsidR="00DF3A62" w:rsidRPr="00AE7AFA" w:rsidRDefault="00DF3A62" w:rsidP="00DF3A6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F194B3B" w14:textId="77777777" w:rsidR="00DF3A62" w:rsidRPr="00AE7AFA" w:rsidRDefault="00DF3A62" w:rsidP="00DF3A6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1"/>
    </w:p>
    <w:p w14:paraId="4867ED33" w14:textId="77777777" w:rsidR="00DF3A62" w:rsidRPr="00CC167F" w:rsidRDefault="00DF3A62" w:rsidP="00DF3A62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5603A467" w14:textId="77777777" w:rsidR="00DF3A62" w:rsidRDefault="00DF3A62" w:rsidP="00DF3A62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708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DF3A62" w:rsidRPr="00181E2A" w14:paraId="32CA4B5B" w14:textId="77777777" w:rsidTr="00DF3A6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FF98759" w14:textId="77777777" w:rsidR="00DF3A62" w:rsidRPr="006D5439" w:rsidRDefault="00DF3A62" w:rsidP="00DF3A62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D50956">
              <w:rPr>
                <w:rFonts w:eastAsia="Times New Roman" w:cs="Calibri"/>
                <w:b/>
                <w:sz w:val="32"/>
                <w:szCs w:val="32"/>
                <w:lang w:eastAsia="cs-CZ"/>
              </w:rPr>
              <w:t>ZPŮSOB STANOVENÍ PŘEDPOKLÁDANÉ HODNOTY</w:t>
            </w:r>
          </w:p>
        </w:tc>
      </w:tr>
      <w:tr w:rsidR="00DF3A62" w:rsidRPr="00181E2A" w14:paraId="1189D6CF" w14:textId="77777777" w:rsidTr="00DF3A62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B9BCBA" w14:textId="77777777" w:rsidR="00DF3A62" w:rsidRPr="006D5439" w:rsidRDefault="00DF3A62" w:rsidP="00DF3A62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DF3A62" w:rsidRPr="00181E2A" w14:paraId="28730953" w14:textId="77777777" w:rsidTr="00DF3A6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26F41" w14:textId="77777777" w:rsidR="00DF3A62" w:rsidRPr="006D5439" w:rsidRDefault="00DF3A62" w:rsidP="00DF3A62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</w:p>
        </w:tc>
      </w:tr>
      <w:tr w:rsidR="00DF3A62" w:rsidRPr="00181E2A" w14:paraId="38092144" w14:textId="77777777" w:rsidTr="00DF3A6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039809A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790C7" w14:textId="77777777" w:rsidR="00DF3A62" w:rsidRPr="00181E2A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249ED4C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14FA0" w14:textId="77777777" w:rsidR="00DF3A62" w:rsidRPr="00181E2A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F8B739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9B032" w14:textId="77777777" w:rsidR="00DF3A62" w:rsidRPr="00181E2A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DF3A62" w:rsidRPr="00181E2A" w14:paraId="6A5172CA" w14:textId="77777777" w:rsidTr="00DF3A6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4E02E5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r>
              <w:rPr>
                <w:rFonts w:eastAsia="Times New Roman" w:cs="Calibri"/>
                <w:sz w:val="20"/>
                <w:lang w:eastAsia="cs-CZ"/>
              </w:rPr>
              <w:t xml:space="preserve">- </w:t>
            </w:r>
            <w:commentRangeStart w:id="2"/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commentRangeEnd w:id="2"/>
            <w:r>
              <w:rPr>
                <w:rStyle w:val="Odkaznakoment"/>
              </w:rPr>
              <w:commentReference w:id="2"/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1F930" w14:textId="77777777" w:rsidR="00DF3A62" w:rsidRPr="00181E2A" w:rsidRDefault="00DF3A62" w:rsidP="00DF3A6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</w:p>
        </w:tc>
      </w:tr>
      <w:tr w:rsidR="00DF3A62" w:rsidRPr="00181E2A" w14:paraId="52D8D07D" w14:textId="77777777" w:rsidTr="00DF3A62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1AD8CBE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FD3B4E" w14:textId="77777777" w:rsidR="00DF3A62" w:rsidRPr="00181E2A" w:rsidRDefault="00DF3A62" w:rsidP="00DF3A62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DF3A62" w:rsidRPr="00181E2A" w14:paraId="1FE8A56A" w14:textId="77777777" w:rsidTr="00DF3A6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2C32B3E" w14:textId="77777777" w:rsidR="00DF3A62" w:rsidRPr="00181E2A" w:rsidRDefault="00DF3A62" w:rsidP="00DF3A6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ECF93" w14:textId="77777777" w:rsidR="00DF3A62" w:rsidRPr="00491767" w:rsidRDefault="00DF3A62" w:rsidP="00DF3A6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44E2360" w14:textId="77777777" w:rsidR="00DF3A62" w:rsidRPr="00181E2A" w:rsidRDefault="00DF3A62" w:rsidP="00DF3A6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B00625" w14:textId="77777777" w:rsidR="00DF3A62" w:rsidRPr="00491767" w:rsidRDefault="00DF3A62" w:rsidP="00DF3A6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DF3A62" w:rsidRPr="00181E2A" w14:paraId="798A96F7" w14:textId="77777777" w:rsidTr="00DF3A6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B1EA39B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7751D2" w14:textId="77777777" w:rsidR="00DF3A62" w:rsidRPr="00491767" w:rsidRDefault="00DF3A62" w:rsidP="00DF3A6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</w:p>
        </w:tc>
      </w:tr>
      <w:tr w:rsidR="00DF3A62" w:rsidRPr="00181E2A" w14:paraId="47A5924E" w14:textId="77777777" w:rsidTr="00DF3A6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4CE6BFA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11458B" w14:textId="77777777" w:rsidR="00DF3A62" w:rsidRPr="00491767" w:rsidRDefault="00DF3A62" w:rsidP="00DF3A6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DF3A62" w:rsidRPr="00181E2A" w14:paraId="01DCBBF3" w14:textId="77777777" w:rsidTr="00DF3A6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5EA85A4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5AD1D" w14:textId="77777777" w:rsidR="00DF3A62" w:rsidRPr="00181E2A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24774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79EDE6B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78124" w14:textId="581233C1" w:rsidR="00DF3A62" w:rsidRPr="00181E2A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B23850" w14:textId="77777777" w:rsidR="00DF3A62" w:rsidRPr="00181E2A" w:rsidRDefault="00DF3A62" w:rsidP="00DF3A6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74707" w14:textId="4D5865D4" w:rsidR="00DF3A62" w:rsidRPr="00DF3A62" w:rsidRDefault="00DF3A62" w:rsidP="00DF3A6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F3A62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77BE72BF" w14:textId="64C6EC51" w:rsidR="00D50956" w:rsidRDefault="00D50956" w:rsidP="00D50956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7882BCF0" w14:textId="77777777" w:rsidR="000815C4" w:rsidRPr="000815C4" w:rsidRDefault="000815C4" w:rsidP="00423F0C">
      <w:pPr>
        <w:spacing w:before="120"/>
        <w:rPr>
          <w:lang w:eastAsia="cs-CZ"/>
        </w:rPr>
      </w:pPr>
      <w:r w:rsidRPr="000815C4">
        <w:rPr>
          <w:lang w:eastAsia="cs-CZ"/>
        </w:rPr>
        <w:t xml:space="preserve">Předpokládaná hodnota veřejné zakázky činí </w:t>
      </w:r>
      <w:r w:rsidRPr="000815C4">
        <w:rPr>
          <w:highlight w:val="yellow"/>
          <w:lang w:eastAsia="cs-CZ"/>
        </w:rPr>
        <w:t>…………………………..</w:t>
      </w:r>
      <w:r w:rsidRPr="000815C4">
        <w:rPr>
          <w:lang w:eastAsia="cs-CZ"/>
        </w:rPr>
        <w:t xml:space="preserve"> Kč bez DPH, tj. </w:t>
      </w:r>
      <w:r w:rsidRPr="000815C4">
        <w:rPr>
          <w:highlight w:val="yellow"/>
          <w:lang w:eastAsia="cs-CZ"/>
        </w:rPr>
        <w:t>…………………………</w:t>
      </w:r>
      <w:r w:rsidRPr="000815C4">
        <w:rPr>
          <w:lang w:eastAsia="cs-CZ"/>
        </w:rPr>
        <w:t xml:space="preserve"> Kč vč. </w:t>
      </w:r>
      <w:commentRangeStart w:id="3"/>
      <w:r w:rsidRPr="000815C4">
        <w:rPr>
          <w:lang w:eastAsia="cs-CZ"/>
        </w:rPr>
        <w:t>DPH</w:t>
      </w:r>
      <w:commentRangeEnd w:id="3"/>
      <w:r w:rsidRPr="000815C4">
        <w:rPr>
          <w:rFonts w:ascii="Cambria" w:eastAsia="Cambria" w:hAnsi="Cambria" w:cs="Times New Roman"/>
          <w:sz w:val="16"/>
          <w:szCs w:val="16"/>
        </w:rPr>
        <w:commentReference w:id="3"/>
      </w:r>
      <w:r w:rsidRPr="000815C4">
        <w:rPr>
          <w:lang w:eastAsia="cs-CZ"/>
        </w:rPr>
        <w:t>.</w:t>
      </w:r>
    </w:p>
    <w:p w14:paraId="4A9739CC" w14:textId="4AE773E6" w:rsidR="000815C4" w:rsidRPr="000815C4" w:rsidRDefault="000815C4" w:rsidP="00423F0C">
      <w:pPr>
        <w:spacing w:before="120"/>
        <w:rPr>
          <w:rFonts w:cs="Times New Roman"/>
          <w:b/>
          <w:lang w:eastAsia="cs-CZ"/>
        </w:rPr>
      </w:pPr>
      <w:r w:rsidRPr="000815C4">
        <w:rPr>
          <w:lang w:eastAsia="cs-CZ"/>
        </w:rPr>
        <w:t xml:space="preserve">Zadavatel </w:t>
      </w:r>
      <w:r w:rsidRPr="001C15F7">
        <w:rPr>
          <w:rFonts w:cs="Times New Roman"/>
          <w:b/>
          <w:highlight w:val="yellow"/>
          <w:lang w:eastAsia="cs-CZ"/>
        </w:rPr>
        <w:t>……………</w:t>
      </w:r>
      <w:r w:rsidR="00032F55" w:rsidRPr="001C15F7">
        <w:rPr>
          <w:rFonts w:cs="Times New Roman"/>
          <w:b/>
          <w:highlight w:val="yellow"/>
          <w:lang w:eastAsia="cs-CZ"/>
        </w:rPr>
        <w:t>………………………………………</w:t>
      </w:r>
      <w:r w:rsidRPr="001C15F7">
        <w:rPr>
          <w:rFonts w:cs="Times New Roman"/>
          <w:b/>
          <w:highlight w:val="yellow"/>
          <w:lang w:eastAsia="cs-CZ"/>
        </w:rPr>
        <w:t>……..</w:t>
      </w:r>
      <w:r w:rsidRPr="000815C4">
        <w:rPr>
          <w:rFonts w:cs="Times New Roman"/>
          <w:b/>
          <w:lang w:eastAsia="cs-CZ"/>
        </w:rPr>
        <w:t xml:space="preserve"> </w:t>
      </w:r>
      <w:r w:rsidRPr="000815C4">
        <w:rPr>
          <w:rFonts w:cs="Times New Roman"/>
          <w:lang w:eastAsia="cs-CZ"/>
        </w:rPr>
        <w:t>stanovil předpokládanou hodnotu této veřejné zakázky v souladu s § 16 zákona č.</w:t>
      </w:r>
      <w:r>
        <w:rPr>
          <w:rFonts w:cs="Times New Roman"/>
          <w:lang w:eastAsia="cs-CZ"/>
        </w:rPr>
        <w:t> </w:t>
      </w:r>
      <w:r w:rsidRPr="000815C4">
        <w:rPr>
          <w:rFonts w:cs="Times New Roman"/>
          <w:lang w:eastAsia="cs-CZ"/>
        </w:rPr>
        <w:t>134/2016 Sb., o zadávání veřejných zakázek (ZZVZ) následujícím způsobem:</w:t>
      </w:r>
      <w:r w:rsidRPr="000815C4">
        <w:rPr>
          <w:rFonts w:cs="Times New Roman"/>
          <w:b/>
          <w:lang w:eastAsia="cs-CZ"/>
        </w:rPr>
        <w:t xml:space="preserve"> </w:t>
      </w:r>
    </w:p>
    <w:p w14:paraId="269135A1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ind w:left="714" w:hanging="357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Projektové </w:t>
      </w:r>
      <w:commentRangeStart w:id="4"/>
      <w:r w:rsidRPr="000815C4">
        <w:rPr>
          <w:rFonts w:cs="Times New Roman"/>
          <w:lang w:eastAsia="cs-CZ"/>
        </w:rPr>
        <w:t>dokumentace</w:t>
      </w:r>
      <w:commentRangeEnd w:id="4"/>
      <w:r w:rsidRPr="000815C4">
        <w:rPr>
          <w:rFonts w:cs="Times New Roman"/>
          <w:lang w:eastAsia="cs-CZ"/>
        </w:rPr>
        <w:commentReference w:id="4"/>
      </w:r>
      <w:r w:rsidRPr="000815C4">
        <w:rPr>
          <w:rFonts w:cs="Times New Roman"/>
          <w:lang w:eastAsia="cs-CZ"/>
        </w:rPr>
        <w:t xml:space="preserve"> zpracované </w:t>
      </w:r>
      <w:r w:rsidRPr="00032F55">
        <w:rPr>
          <w:rFonts w:cs="Times New Roman"/>
          <w:highlight w:val="yellow"/>
          <w:lang w:eastAsia="cs-CZ"/>
        </w:rPr>
        <w:t>………………………………… v …………….</w:t>
      </w:r>
    </w:p>
    <w:p w14:paraId="2BC33842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analýzou hodnoty zakázek se </w:t>
      </w:r>
      <w:r w:rsidRPr="00032F55">
        <w:rPr>
          <w:rFonts w:cs="Times New Roman"/>
          <w:highlight w:val="yellow"/>
          <w:lang w:eastAsia="cs-CZ"/>
        </w:rPr>
        <w:t>stejným/podobným</w:t>
      </w:r>
      <w:r w:rsidRPr="000815C4">
        <w:rPr>
          <w:rFonts w:cs="Times New Roman"/>
          <w:lang w:eastAsia="cs-CZ"/>
        </w:rPr>
        <w:t xml:space="preserve"> předmětem plnění, které </w:t>
      </w:r>
      <w:commentRangeStart w:id="5"/>
      <w:r w:rsidRPr="000815C4">
        <w:rPr>
          <w:rFonts w:cs="Times New Roman"/>
          <w:lang w:eastAsia="cs-CZ"/>
        </w:rPr>
        <w:t>zadavatel</w:t>
      </w:r>
      <w:commentRangeEnd w:id="5"/>
      <w:r w:rsidRPr="000815C4">
        <w:rPr>
          <w:rFonts w:cs="Times New Roman"/>
          <w:lang w:eastAsia="cs-CZ"/>
        </w:rPr>
        <w:commentReference w:id="5"/>
      </w:r>
      <w:r w:rsidRPr="000815C4">
        <w:rPr>
          <w:rFonts w:cs="Times New Roman"/>
          <w:lang w:eastAsia="cs-CZ"/>
        </w:rPr>
        <w:t xml:space="preserve"> pořídil v roce </w:t>
      </w:r>
      <w:r w:rsidRPr="00032F55">
        <w:rPr>
          <w:rFonts w:cs="Times New Roman"/>
          <w:highlight w:val="yellow"/>
          <w:lang w:eastAsia="cs-CZ"/>
        </w:rPr>
        <w:t>……..</w:t>
      </w:r>
    </w:p>
    <w:p w14:paraId="7B51FC7D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informací získaných průzkumem trhu, a </w:t>
      </w:r>
      <w:commentRangeStart w:id="6"/>
      <w:r w:rsidRPr="000815C4">
        <w:rPr>
          <w:rFonts w:cs="Times New Roman"/>
          <w:lang w:eastAsia="cs-CZ"/>
        </w:rPr>
        <w:t>to</w:t>
      </w:r>
      <w:commentRangeEnd w:id="6"/>
      <w:r w:rsidRPr="000815C4">
        <w:rPr>
          <w:rFonts w:cs="Times New Roman"/>
          <w:lang w:eastAsia="cs-CZ"/>
        </w:rPr>
        <w:commentReference w:id="6"/>
      </w:r>
      <w:r w:rsidRPr="000815C4">
        <w:rPr>
          <w:rFonts w:cs="Times New Roman"/>
          <w:lang w:eastAsia="cs-CZ"/>
        </w:rPr>
        <w:t xml:space="preserve"> </w:t>
      </w:r>
      <w:r w:rsidRPr="00032F55">
        <w:rPr>
          <w:rFonts w:cs="Times New Roman"/>
          <w:highlight w:val="yellow"/>
          <w:lang w:eastAsia="cs-CZ"/>
        </w:rPr>
        <w:t>……………………</w:t>
      </w:r>
    </w:p>
    <w:p w14:paraId="13503050" w14:textId="77777777" w:rsidR="000815C4" w:rsidRPr="000815C4" w:rsidRDefault="000815C4" w:rsidP="00423F0C">
      <w:pPr>
        <w:pStyle w:val="Odstavecseseznamem"/>
        <w:numPr>
          <w:ilvl w:val="0"/>
          <w:numId w:val="43"/>
        </w:num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 xml:space="preserve">na základě předběžné tržní konzultace, která proběhla dne </w:t>
      </w:r>
      <w:r w:rsidRPr="000815C4">
        <w:rPr>
          <w:rFonts w:cs="Times New Roman"/>
          <w:highlight w:val="yellow"/>
          <w:lang w:eastAsia="cs-CZ"/>
        </w:rPr>
        <w:t>…………</w:t>
      </w:r>
      <w:r w:rsidRPr="000815C4">
        <w:rPr>
          <w:rFonts w:cs="Times New Roman"/>
          <w:lang w:eastAsia="cs-CZ"/>
        </w:rPr>
        <w:t xml:space="preserve"> s </w:t>
      </w:r>
      <w:commentRangeStart w:id="7"/>
      <w:r w:rsidRPr="000815C4">
        <w:rPr>
          <w:rFonts w:cs="Times New Roman"/>
          <w:lang w:eastAsia="cs-CZ"/>
        </w:rPr>
        <w:t>dodavateli</w:t>
      </w:r>
      <w:commentRangeEnd w:id="7"/>
      <w:r w:rsidRPr="000815C4">
        <w:rPr>
          <w:rFonts w:ascii="Cambria" w:eastAsia="Cambria" w:hAnsi="Cambria"/>
          <w:sz w:val="16"/>
          <w:szCs w:val="16"/>
        </w:rPr>
        <w:commentReference w:id="7"/>
      </w:r>
      <w:r w:rsidRPr="000815C4">
        <w:rPr>
          <w:rFonts w:cs="Times New Roman"/>
          <w:lang w:eastAsia="cs-CZ"/>
        </w:rPr>
        <w:t xml:space="preserve"> </w:t>
      </w:r>
      <w:r w:rsidRPr="000815C4">
        <w:rPr>
          <w:rFonts w:cs="Times New Roman"/>
          <w:highlight w:val="yellow"/>
          <w:lang w:eastAsia="cs-CZ"/>
        </w:rPr>
        <w:t>………………………….</w:t>
      </w:r>
    </w:p>
    <w:p w14:paraId="065A2BEE" w14:textId="6ECB244F" w:rsidR="000815C4" w:rsidRPr="000815C4" w:rsidRDefault="000815C4" w:rsidP="00423F0C">
      <w:pPr>
        <w:spacing w:before="120"/>
        <w:rPr>
          <w:rFonts w:cs="Times New Roman"/>
          <w:lang w:eastAsia="cs-CZ"/>
        </w:rPr>
      </w:pPr>
      <w:r w:rsidRPr="000815C4">
        <w:rPr>
          <w:rFonts w:cs="Times New Roman"/>
          <w:lang w:eastAsia="cs-CZ"/>
        </w:rPr>
        <w:t>Do předpokládané hodnoty VZ byla zahrnuta hodnota všech plnění, která mohou vyplývat ze smlouvy na</w:t>
      </w:r>
      <w:r>
        <w:rPr>
          <w:rFonts w:cs="Times New Roman"/>
          <w:lang w:eastAsia="cs-CZ"/>
        </w:rPr>
        <w:t> </w:t>
      </w:r>
      <w:r w:rsidRPr="000815C4">
        <w:rPr>
          <w:rFonts w:cs="Times New Roman"/>
          <w:lang w:eastAsia="cs-CZ"/>
        </w:rPr>
        <w:t>veřejnou zakázku.</w:t>
      </w:r>
    </w:p>
    <w:p w14:paraId="4C540C26" w14:textId="2260A920" w:rsidR="000815C4" w:rsidRPr="000815C4" w:rsidRDefault="000815C4" w:rsidP="00423F0C">
      <w:pPr>
        <w:spacing w:before="120"/>
        <w:rPr>
          <w:rFonts w:cs="Times New Roman"/>
          <w:lang w:eastAsia="cs-CZ"/>
        </w:rPr>
      </w:pPr>
      <w:r w:rsidRPr="000815C4">
        <w:rPr>
          <w:rFonts w:cs="Times New Roman"/>
          <w:highlight w:val="yellow"/>
          <w:lang w:eastAsia="cs-CZ"/>
        </w:rPr>
        <w:lastRenderedPageBreak/>
        <w:t>V předpokládané hodnotě je zahrnuta vyhrazená změna závazku podle § 100 odst. … ZZVZ, jejíž hodnota činí</w:t>
      </w:r>
      <w:r w:rsidR="00032F55">
        <w:rPr>
          <w:rFonts w:cs="Times New Roman"/>
          <w:highlight w:val="yellow"/>
          <w:lang w:eastAsia="cs-CZ"/>
        </w:rPr>
        <w:t> </w:t>
      </w:r>
      <w:r w:rsidRPr="000815C4">
        <w:rPr>
          <w:rFonts w:cs="Times New Roman"/>
          <w:highlight w:val="yellow"/>
          <w:lang w:eastAsia="cs-CZ"/>
        </w:rPr>
        <w:t xml:space="preserve">…………………….. Kč bez </w:t>
      </w:r>
      <w:commentRangeStart w:id="8"/>
      <w:r w:rsidRPr="000815C4">
        <w:rPr>
          <w:rFonts w:cs="Times New Roman"/>
          <w:highlight w:val="yellow"/>
          <w:lang w:eastAsia="cs-CZ"/>
        </w:rPr>
        <w:t>DPH</w:t>
      </w:r>
      <w:commentRangeEnd w:id="8"/>
      <w:r w:rsidRPr="000815C4">
        <w:rPr>
          <w:rFonts w:ascii="Cambria" w:eastAsia="Cambria" w:hAnsi="Cambria" w:cs="Times New Roman"/>
          <w:sz w:val="16"/>
          <w:szCs w:val="16"/>
        </w:rPr>
        <w:commentReference w:id="8"/>
      </w:r>
      <w:r w:rsidRPr="000815C4">
        <w:rPr>
          <w:rFonts w:cs="Times New Roman"/>
          <w:highlight w:val="yellow"/>
          <w:lang w:eastAsia="cs-CZ"/>
        </w:rPr>
        <w:t>.</w:t>
      </w:r>
    </w:p>
    <w:p w14:paraId="6A59B9F0" w14:textId="77777777" w:rsidR="00423F0C" w:rsidRDefault="00423F0C" w:rsidP="00423F0C">
      <w:pPr>
        <w:spacing w:before="120"/>
        <w:rPr>
          <w:rFonts w:eastAsia="Times New Roman" w:cs="Times New Roman"/>
          <w:sz w:val="24"/>
          <w:szCs w:val="24"/>
          <w:lang w:eastAsia="cs-CZ"/>
        </w:rPr>
      </w:pPr>
    </w:p>
    <w:p w14:paraId="06A8E109" w14:textId="77777777" w:rsidR="00032F55" w:rsidRDefault="00032F55" w:rsidP="00423F0C">
      <w:pPr>
        <w:spacing w:before="120"/>
        <w:rPr>
          <w:rFonts w:eastAsia="Times New Roman" w:cs="Times New Roman"/>
          <w:sz w:val="24"/>
          <w:szCs w:val="24"/>
          <w:lang w:eastAsia="cs-CZ"/>
        </w:rPr>
      </w:pPr>
    </w:p>
    <w:p w14:paraId="4340BA58" w14:textId="4F62DA9B" w:rsidR="000815C4" w:rsidRDefault="000815C4" w:rsidP="00423F0C">
      <w:pPr>
        <w:spacing w:before="120"/>
        <w:rPr>
          <w:lang w:eastAsia="cs-CZ"/>
        </w:rPr>
      </w:pPr>
      <w:r w:rsidRPr="000815C4">
        <w:rPr>
          <w:rFonts w:eastAsia="Times New Roman" w:cs="Times New Roman"/>
          <w:sz w:val="24"/>
          <w:szCs w:val="24"/>
          <w:lang w:eastAsia="cs-CZ"/>
        </w:rPr>
        <w:t xml:space="preserve">Předpokládaná hodnota VZ byla stanovena ke </w:t>
      </w:r>
      <w:commentRangeStart w:id="9"/>
      <w:r w:rsidRPr="000815C4">
        <w:rPr>
          <w:rFonts w:eastAsia="Times New Roman" w:cs="Times New Roman"/>
          <w:sz w:val="24"/>
          <w:szCs w:val="24"/>
          <w:lang w:eastAsia="cs-CZ"/>
        </w:rPr>
        <w:t>dni</w:t>
      </w:r>
      <w:commentRangeEnd w:id="9"/>
      <w:r w:rsidRPr="000815C4">
        <w:rPr>
          <w:rFonts w:ascii="Cambria" w:eastAsia="Cambria" w:hAnsi="Cambria" w:cs="Times New Roman"/>
          <w:sz w:val="16"/>
          <w:szCs w:val="16"/>
        </w:rPr>
        <w:commentReference w:id="9"/>
      </w:r>
      <w:r w:rsidRPr="000815C4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0815C4">
        <w:rPr>
          <w:rFonts w:eastAsia="Times New Roman" w:cs="Times New Roman"/>
          <w:sz w:val="24"/>
          <w:szCs w:val="24"/>
          <w:highlight w:val="yellow"/>
          <w:lang w:eastAsia="cs-CZ"/>
        </w:rPr>
        <w:t>…………….</w:t>
      </w:r>
    </w:p>
    <w:p w14:paraId="6CE017BB" w14:textId="77777777" w:rsidR="001C15F7" w:rsidRDefault="001C15F7" w:rsidP="00423F0C">
      <w:pPr>
        <w:spacing w:before="120"/>
        <w:rPr>
          <w:lang w:eastAsia="cs-CZ"/>
        </w:rPr>
      </w:pPr>
    </w:p>
    <w:p w14:paraId="4CFF4C55" w14:textId="77777777" w:rsidR="00DF3A62" w:rsidRPr="000230E7" w:rsidRDefault="00DF3A62" w:rsidP="00DF3A62">
      <w:pPr>
        <w:rPr>
          <w:lang w:eastAsia="cs-CZ"/>
        </w:rPr>
      </w:pPr>
      <w:r>
        <w:rPr>
          <w:lang w:eastAsia="cs-CZ"/>
        </w:rPr>
        <w:t xml:space="preserve">V </w:t>
      </w:r>
      <w:r w:rsidRPr="008C3B6D">
        <w:rPr>
          <w:highlight w:val="yellow"/>
          <w:lang w:eastAsia="cs-CZ"/>
        </w:rPr>
        <w:t>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DF3A62" w:rsidRPr="00B756A3" w14:paraId="61A7313D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92027E3" w14:textId="77777777" w:rsidR="00DF3A62" w:rsidRPr="00B756A3" w:rsidRDefault="00DF3A62" w:rsidP="00741EF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DF3A62" w:rsidRPr="00B756A3" w14:paraId="63A5E8D6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6618E213" w14:textId="77777777" w:rsidR="00DF3A62" w:rsidRPr="00B756A3" w:rsidRDefault="00DF3A62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DF3A62" w:rsidRPr="00B756A3" w14:paraId="7C11B10D" w14:textId="77777777" w:rsidTr="00741EFC">
        <w:tc>
          <w:tcPr>
            <w:tcW w:w="3823" w:type="dxa"/>
          </w:tcPr>
          <w:p w14:paraId="6EE25632" w14:textId="77777777" w:rsidR="00DF3A62" w:rsidRPr="00B756A3" w:rsidRDefault="00DF3A62" w:rsidP="00741EF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0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0"/>
            <w:r>
              <w:rPr>
                <w:rStyle w:val="Odkaznakoment"/>
                <w:rFonts w:ascii="Cambria" w:eastAsia="Cambria" w:hAnsi="Cambria" w:cs="Times New Roman"/>
              </w:rPr>
              <w:commentReference w:id="10"/>
            </w:r>
          </w:p>
        </w:tc>
      </w:tr>
      <w:tr w:rsidR="00DF3A62" w:rsidRPr="00B756A3" w14:paraId="5528EAB0" w14:textId="77777777" w:rsidTr="00741EFC">
        <w:tc>
          <w:tcPr>
            <w:tcW w:w="3823" w:type="dxa"/>
          </w:tcPr>
          <w:p w14:paraId="4DC22759" w14:textId="77777777" w:rsidR="00DF3A62" w:rsidRDefault="00DF3A62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C6C6344" w14:textId="77777777" w:rsidR="00DF3A62" w:rsidRPr="00B756A3" w:rsidRDefault="00DF3A62" w:rsidP="00741EF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53484D">
              <w:rPr>
                <w:rFonts w:eastAsia="Times New Roman" w:cs="Calibri"/>
                <w:i/>
                <w:szCs w:val="24"/>
                <w:lang w:eastAsia="cs-CZ"/>
              </w:rPr>
              <w:t>za zadavatele</w:t>
            </w:r>
          </w:p>
        </w:tc>
      </w:tr>
    </w:tbl>
    <w:p w14:paraId="1DC04A9D" w14:textId="77777777" w:rsidR="00DF3A62" w:rsidRDefault="00DF3A62" w:rsidP="00DF3A62">
      <w:pPr>
        <w:rPr>
          <w:lang w:eastAsia="cs-CZ"/>
        </w:rPr>
      </w:pPr>
    </w:p>
    <w:p w14:paraId="2FFFEFB9" w14:textId="77777777" w:rsidR="000815C4" w:rsidRDefault="000815C4" w:rsidP="000815C4">
      <w:pPr>
        <w:rPr>
          <w:lang w:eastAsia="cs-CZ"/>
        </w:rPr>
      </w:pPr>
    </w:p>
    <w:p w14:paraId="5A9D218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sectPr w:rsidR="00CC4EE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2-07-26T17:30:00Z" w:initials="CNPK">
    <w:p w14:paraId="345839E6" w14:textId="77777777" w:rsidR="00A64924" w:rsidRDefault="00A64924" w:rsidP="00A64924">
      <w:pPr>
        <w:pStyle w:val="Textkomente"/>
      </w:pPr>
      <w:r>
        <w:rPr>
          <w:rStyle w:val="Odkaznakoment"/>
        </w:rPr>
        <w:annotationRef/>
      </w:r>
      <w:r>
        <w:t>Způsob stanovení předpokládané hodnoty veřejné zakázky - § 16 ZZVZ; nadlimitní VZ</w:t>
      </w:r>
    </w:p>
    <w:p w14:paraId="37B20605" w14:textId="77777777" w:rsidR="00A64924" w:rsidRDefault="00A64924" w:rsidP="00A64924">
      <w:pPr>
        <w:pStyle w:val="Textkomente"/>
      </w:pPr>
    </w:p>
    <w:p w14:paraId="439DC303" w14:textId="77777777" w:rsidR="00A64924" w:rsidRDefault="00A64924" w:rsidP="00A64924">
      <w:pPr>
        <w:pStyle w:val="Textkomente"/>
      </w:pPr>
      <w:r>
        <w:t>Nepovinný dokument, doporučuje jej Ministerstvo financí.</w:t>
      </w:r>
    </w:p>
    <w:p w14:paraId="164F11B9" w14:textId="77777777" w:rsidR="00A64924" w:rsidRDefault="00A64924" w:rsidP="00A64924">
      <w:pPr>
        <w:pStyle w:val="Textkomente"/>
      </w:pPr>
    </w:p>
    <w:p w14:paraId="16AF331E" w14:textId="7267B28E" w:rsidR="00A64924" w:rsidRDefault="00A64924" w:rsidP="00A64924">
      <w:pPr>
        <w:pStyle w:val="Textkomente"/>
      </w:pPr>
      <w:r>
        <w:t>§ 16 odst. 6 ZZVZ – Předpokládaná hodnota veřejné zakázky se stanoví na základě údajů a informací o zakázkách stejného či podobného předmětu plnění; nemá-li zadavatel takové údaje nebo informace, vychází z informací získaných průzkumem trhu, předběžnými tržními konzultacemi nebo jiným vhodným způsobem.</w:t>
      </w:r>
    </w:p>
  </w:comment>
  <w:comment w:id="2" w:author="CNPK" w:date="2024-07-22T16:20:00Z" w:initials="CNPK">
    <w:p w14:paraId="0C231C0B" w14:textId="77777777" w:rsidR="00DF3A62" w:rsidRDefault="00DF3A62" w:rsidP="00DF3A62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5-29T12:04:00Z" w:initials="CNPK">
    <w:p w14:paraId="1E694D1E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Předpokládaná hodnota VZ na dodávky: za celou dobu plnění, u smlouvy na dobu neurčitou za 48 měsíců</w:t>
      </w:r>
    </w:p>
    <w:p w14:paraId="48C04573" w14:textId="77777777" w:rsidR="000815C4" w:rsidRDefault="000815C4" w:rsidP="000815C4">
      <w:pPr>
        <w:pStyle w:val="Textkomente"/>
      </w:pPr>
    </w:p>
    <w:p w14:paraId="1335268B" w14:textId="77777777" w:rsidR="000815C4" w:rsidRDefault="000815C4" w:rsidP="000815C4">
      <w:pPr>
        <w:pStyle w:val="Textkomente"/>
      </w:pPr>
      <w:r>
        <w:t>Předpokládaná hodnota VZ na služby: za celou dobu trvání smlouvy do 48 měsíců, u smlouvy na dobu neurčitou nebo delší než 48 měsíců se počítá 48 měsíců</w:t>
      </w:r>
    </w:p>
    <w:p w14:paraId="79146D32" w14:textId="77777777" w:rsidR="000815C4" w:rsidRDefault="000815C4" w:rsidP="000815C4">
      <w:pPr>
        <w:pStyle w:val="Textkomente"/>
      </w:pPr>
    </w:p>
    <w:p w14:paraId="1FAE1B0A" w14:textId="77777777" w:rsidR="000815C4" w:rsidRDefault="000815C4" w:rsidP="000815C4">
      <w:pPr>
        <w:pStyle w:val="Textkomente"/>
      </w:pPr>
      <w:r>
        <w:t>U VZ na stavební práce se do předpokládané hodnoty zahrnou také související dodávky a služby, které jsou nezbytné.</w:t>
      </w:r>
    </w:p>
    <w:p w14:paraId="75501C7B" w14:textId="77777777" w:rsidR="000815C4" w:rsidRDefault="000815C4" w:rsidP="000815C4">
      <w:pPr>
        <w:pStyle w:val="Textkomente"/>
      </w:pPr>
    </w:p>
    <w:p w14:paraId="1D619053" w14:textId="77777777" w:rsidR="000815C4" w:rsidRDefault="000815C4" w:rsidP="000815C4">
      <w:pPr>
        <w:pStyle w:val="Textkomente"/>
      </w:pPr>
      <w:r>
        <w:t>Pravidelně pořizované dodávky nebo služby – zohlední se uhrazená cena za předcházejících 12 měsíců s přihlédnutím k budoucím změnám.</w:t>
      </w:r>
    </w:p>
  </w:comment>
  <w:comment w:id="4" w:author="CNPK" w:date="2020-05-29T10:54:00Z" w:initials="CNPK">
    <w:p w14:paraId="42EA7A86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nebo posudku</w:t>
      </w:r>
    </w:p>
  </w:comment>
  <w:comment w:id="5" w:author="CNPK" w:date="2020-05-29T10:50:00Z" w:initials="CNPK">
    <w:p w14:paraId="386B2D43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nebo jiní zadavatelé</w:t>
      </w:r>
    </w:p>
  </w:comment>
  <w:comment w:id="6" w:author="CNPK" w:date="2020-05-29T10:52:00Z" w:initials="CNPK">
    <w:p w14:paraId="02B4413B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zjišťování informací na internetových stránkách dodavatelů, ve Věstníku VZ, oslovováním dodavatelů, dotazníků atd.</w:t>
      </w:r>
    </w:p>
  </w:comment>
  <w:comment w:id="7" w:author="CNPK" w:date="2020-05-29T10:56:00Z" w:initials="CNPK">
    <w:p w14:paraId="58371866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nebo odborníky</w:t>
      </w:r>
    </w:p>
  </w:comment>
  <w:comment w:id="8" w:author="CNPK" w:date="2020-05-29T12:02:00Z" w:initials="CNPK">
    <w:p w14:paraId="54AFE217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jen v případě vyhrazené změny závazku podle § 100 odst. 1, 2 nebo 3 ZZVZ</w:t>
      </w:r>
    </w:p>
  </w:comment>
  <w:comment w:id="9" w:author="CNPK" w:date="2020-05-29T12:03:00Z" w:initials="CNPK">
    <w:p w14:paraId="7A815F73" w14:textId="77777777" w:rsidR="000815C4" w:rsidRDefault="000815C4" w:rsidP="000815C4">
      <w:pPr>
        <w:pStyle w:val="Textkomente"/>
      </w:pPr>
      <w:r>
        <w:rPr>
          <w:rStyle w:val="Odkaznakoment"/>
        </w:rPr>
        <w:annotationRef/>
      </w:r>
      <w:r>
        <w:t>předpokládaná hodnota VZ by měla být stanovena k okamžiku zahájení ZŘ</w:t>
      </w:r>
    </w:p>
  </w:comment>
  <w:comment w:id="10" w:author="CNPK" w:date="2025-06-23T10:39:00Z" w:initials="CNPK">
    <w:p w14:paraId="74FB395B" w14:textId="77777777" w:rsidR="00DF3A62" w:rsidRDefault="00DF3A62" w:rsidP="00DF3A62">
      <w:pPr>
        <w:pStyle w:val="Textkomente"/>
      </w:pPr>
      <w:r>
        <w:rPr>
          <w:rStyle w:val="Odkaznakoment"/>
        </w:rPr>
        <w:annotationRef/>
      </w:r>
      <w:r>
        <w:t>Může podepsat pověřená osoba zadavatele –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AF331E" w15:done="0"/>
  <w15:commentEx w15:paraId="0C231C0B" w15:done="0"/>
  <w15:commentEx w15:paraId="1D619053" w15:done="0"/>
  <w15:commentEx w15:paraId="42EA7A86" w15:done="0"/>
  <w15:commentEx w15:paraId="386B2D43" w15:done="0"/>
  <w15:commentEx w15:paraId="02B4413B" w15:done="0"/>
  <w15:commentEx w15:paraId="58371866" w15:done="0"/>
  <w15:commentEx w15:paraId="54AFE217" w15:done="0"/>
  <w15:commentEx w15:paraId="7A815F73" w15:done="0"/>
  <w15:commentEx w15:paraId="74FB39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AF331E" w16cid:durableId="16AF331E"/>
  <w16cid:commentId w16cid:paraId="0C231C0B" w16cid:durableId="0ACE0A0E"/>
  <w16cid:commentId w16cid:paraId="1D619053" w16cid:durableId="1D619053"/>
  <w16cid:commentId w16cid:paraId="42EA7A86" w16cid:durableId="42EA7A86"/>
  <w16cid:commentId w16cid:paraId="386B2D43" w16cid:durableId="386B2D43"/>
  <w16cid:commentId w16cid:paraId="02B4413B" w16cid:durableId="02B4413B"/>
  <w16cid:commentId w16cid:paraId="58371866" w16cid:durableId="58371866"/>
  <w16cid:commentId w16cid:paraId="54AFE217" w16cid:durableId="54AFE217"/>
  <w16cid:commentId w16cid:paraId="7A815F73" w16cid:durableId="7A815F73"/>
  <w16cid:commentId w16cid:paraId="74FB395B" w16cid:durableId="57BA46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459901"/>
      <w:docPartObj>
        <w:docPartGallery w:val="Page Numbers (Bottom of Page)"/>
        <w:docPartUnique/>
      </w:docPartObj>
    </w:sdtPr>
    <w:sdtEndPr/>
    <w:sdtContent>
      <w:p w14:paraId="3B540241" w14:textId="663DB486" w:rsidR="00032F55" w:rsidRDefault="00032F5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2FF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FB13639" w:rsidR="00B210C8" w:rsidRPr="00B210C8" w:rsidRDefault="00032F55" w:rsidP="00B210C8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A242FF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434A57DE" w:rsidR="00B210C8" w:rsidRPr="00032F55" w:rsidRDefault="00032F55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C739E"/>
    <w:multiLevelType w:val="hybridMultilevel"/>
    <w:tmpl w:val="960E1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01597"/>
    <w:multiLevelType w:val="hybridMultilevel"/>
    <w:tmpl w:val="5B2E6080"/>
    <w:lvl w:ilvl="0" w:tplc="991A19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16692"/>
    <w:multiLevelType w:val="hybridMultilevel"/>
    <w:tmpl w:val="52BA1250"/>
    <w:lvl w:ilvl="0" w:tplc="991A19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556141">
    <w:abstractNumId w:val="16"/>
  </w:num>
  <w:num w:numId="2" w16cid:durableId="1040978694">
    <w:abstractNumId w:val="32"/>
  </w:num>
  <w:num w:numId="3" w16cid:durableId="1839689579">
    <w:abstractNumId w:val="16"/>
  </w:num>
  <w:num w:numId="4" w16cid:durableId="1168598227">
    <w:abstractNumId w:val="33"/>
  </w:num>
  <w:num w:numId="5" w16cid:durableId="1654674389">
    <w:abstractNumId w:val="23"/>
  </w:num>
  <w:num w:numId="6" w16cid:durableId="1030060362">
    <w:abstractNumId w:val="16"/>
  </w:num>
  <w:num w:numId="7" w16cid:durableId="1793210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2042814">
    <w:abstractNumId w:val="3"/>
  </w:num>
  <w:num w:numId="9" w16cid:durableId="1275403753">
    <w:abstractNumId w:val="0"/>
  </w:num>
  <w:num w:numId="10" w16cid:durableId="1608389015">
    <w:abstractNumId w:val="19"/>
  </w:num>
  <w:num w:numId="11" w16cid:durableId="893929999">
    <w:abstractNumId w:val="30"/>
  </w:num>
  <w:num w:numId="12" w16cid:durableId="1466780241">
    <w:abstractNumId w:val="27"/>
  </w:num>
  <w:num w:numId="13" w16cid:durableId="1961300291">
    <w:abstractNumId w:val="14"/>
  </w:num>
  <w:num w:numId="14" w16cid:durableId="1437217735">
    <w:abstractNumId w:val="9"/>
  </w:num>
  <w:num w:numId="15" w16cid:durableId="357782222">
    <w:abstractNumId w:val="4"/>
  </w:num>
  <w:num w:numId="16" w16cid:durableId="782959881">
    <w:abstractNumId w:val="13"/>
  </w:num>
  <w:num w:numId="17" w16cid:durableId="539049181">
    <w:abstractNumId w:val="15"/>
  </w:num>
  <w:num w:numId="18" w16cid:durableId="364714316">
    <w:abstractNumId w:val="16"/>
  </w:num>
  <w:num w:numId="19" w16cid:durableId="632447100">
    <w:abstractNumId w:val="5"/>
  </w:num>
  <w:num w:numId="20" w16cid:durableId="1498157443">
    <w:abstractNumId w:val="6"/>
  </w:num>
  <w:num w:numId="21" w16cid:durableId="650136577">
    <w:abstractNumId w:val="22"/>
  </w:num>
  <w:num w:numId="22" w16cid:durableId="1932733783">
    <w:abstractNumId w:val="16"/>
  </w:num>
  <w:num w:numId="23" w16cid:durableId="1941328837">
    <w:abstractNumId w:val="24"/>
  </w:num>
  <w:num w:numId="24" w16cid:durableId="2006787567">
    <w:abstractNumId w:val="8"/>
  </w:num>
  <w:num w:numId="25" w16cid:durableId="1421216662">
    <w:abstractNumId w:val="29"/>
  </w:num>
  <w:num w:numId="26" w16cid:durableId="88042967">
    <w:abstractNumId w:val="10"/>
  </w:num>
  <w:num w:numId="27" w16cid:durableId="2056543022">
    <w:abstractNumId w:val="7"/>
  </w:num>
  <w:num w:numId="28" w16cid:durableId="1947615374">
    <w:abstractNumId w:val="21"/>
  </w:num>
  <w:num w:numId="29" w16cid:durableId="848253082">
    <w:abstractNumId w:val="34"/>
  </w:num>
  <w:num w:numId="30" w16cid:durableId="500123831">
    <w:abstractNumId w:val="18"/>
  </w:num>
  <w:num w:numId="31" w16cid:durableId="1820882456">
    <w:abstractNumId w:val="25"/>
  </w:num>
  <w:num w:numId="32" w16cid:durableId="1107233139">
    <w:abstractNumId w:val="11"/>
  </w:num>
  <w:num w:numId="33" w16cid:durableId="1411345656">
    <w:abstractNumId w:val="31"/>
  </w:num>
  <w:num w:numId="34" w16cid:durableId="1555698498">
    <w:abstractNumId w:val="16"/>
  </w:num>
  <w:num w:numId="35" w16cid:durableId="1227648768">
    <w:abstractNumId w:val="16"/>
  </w:num>
  <w:num w:numId="36" w16cid:durableId="1476096177">
    <w:abstractNumId w:val="1"/>
  </w:num>
  <w:num w:numId="37" w16cid:durableId="567155814">
    <w:abstractNumId w:val="20"/>
  </w:num>
  <w:num w:numId="38" w16cid:durableId="1154836984">
    <w:abstractNumId w:val="12"/>
  </w:num>
  <w:num w:numId="39" w16cid:durableId="1810828954">
    <w:abstractNumId w:val="17"/>
  </w:num>
  <w:num w:numId="40" w16cid:durableId="15340800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3225441">
    <w:abstractNumId w:val="26"/>
  </w:num>
  <w:num w:numId="42" w16cid:durableId="1513841367">
    <w:abstractNumId w:val="2"/>
  </w:num>
  <w:num w:numId="43" w16cid:durableId="741023750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2F55"/>
    <w:rsid w:val="00053A96"/>
    <w:rsid w:val="00063D53"/>
    <w:rsid w:val="000815C4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C15F7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3617D"/>
    <w:rsid w:val="00346FEC"/>
    <w:rsid w:val="0037275F"/>
    <w:rsid w:val="003A176D"/>
    <w:rsid w:val="003A3A31"/>
    <w:rsid w:val="003D51EB"/>
    <w:rsid w:val="003F1DD3"/>
    <w:rsid w:val="0042348B"/>
    <w:rsid w:val="00423F0C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C6CE3"/>
    <w:rsid w:val="00604C17"/>
    <w:rsid w:val="0062503D"/>
    <w:rsid w:val="006812E4"/>
    <w:rsid w:val="006C3015"/>
    <w:rsid w:val="006E1149"/>
    <w:rsid w:val="007055BA"/>
    <w:rsid w:val="00720698"/>
    <w:rsid w:val="007225A6"/>
    <w:rsid w:val="00733577"/>
    <w:rsid w:val="00734123"/>
    <w:rsid w:val="00773408"/>
    <w:rsid w:val="007D59EA"/>
    <w:rsid w:val="00815D80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242FF"/>
    <w:rsid w:val="00A37F4E"/>
    <w:rsid w:val="00A64924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24A7"/>
    <w:rsid w:val="00D37F80"/>
    <w:rsid w:val="00D50956"/>
    <w:rsid w:val="00D73AA0"/>
    <w:rsid w:val="00DF3A62"/>
    <w:rsid w:val="00E33D3F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F9F13-CDF6-488C-8324-283A1071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10</cp:revision>
  <dcterms:created xsi:type="dcterms:W3CDTF">2022-07-26T15:29:00Z</dcterms:created>
  <dcterms:modified xsi:type="dcterms:W3CDTF">2025-09-01T13:48:00Z</dcterms:modified>
</cp:coreProperties>
</file>